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94" w:rsidRPr="00736B24" w:rsidRDefault="00DA1939">
      <w:pPr>
        <w:rPr>
          <w:b/>
        </w:rPr>
      </w:pPr>
      <w:r w:rsidRPr="00736B24">
        <w:rPr>
          <w:b/>
        </w:rPr>
        <w:t>Valori di emissione relativi ad alcune filiere di interesse nazionale</w:t>
      </w:r>
    </w:p>
    <w:p w:rsidR="00DA1939" w:rsidRDefault="00DA1939" w:rsidP="00736B24">
      <w:pPr>
        <w:jc w:val="both"/>
      </w:pPr>
      <w:r>
        <w:t xml:space="preserve">Nella tabella </w:t>
      </w:r>
      <w:r w:rsidR="00F45E24">
        <w:t>1</w:t>
      </w:r>
      <w:r>
        <w:t xml:space="preserve"> vengono riportati i valori di emissione</w:t>
      </w:r>
      <w:r w:rsidR="00334726">
        <w:t>, estrapolati dalla specifica normativa tecnica UNI/TS 11435 che fa riferimento alle direttive della Relazione alla Commissione Europea COM. 2010 (11)</w:t>
      </w:r>
      <w:r>
        <w:t>, espressi come gCO</w:t>
      </w:r>
      <w:r w:rsidRPr="00DA1939">
        <w:rPr>
          <w:vertAlign w:val="subscript"/>
        </w:rPr>
        <w:t>2</w:t>
      </w:r>
      <w:r>
        <w:t>equivalente/MJ, delle principali filiere presenti nel territorio nazionale che possono essere oggetto del finanziamento del presente bando della sottomisura 6.4 A3. I valori comprendono le fasi dalla coltivazione al processo di produzione del combustibile (produzione di legna/</w:t>
      </w:r>
      <w:proofErr w:type="spellStart"/>
      <w:r>
        <w:t>cippato</w:t>
      </w:r>
      <w:proofErr w:type="spellEnd"/>
      <w:r>
        <w:t>, o produzione di biogas), comprendendo anche le fasi di trasporto della biomassa.</w:t>
      </w:r>
    </w:p>
    <w:p w:rsidR="00DA1939" w:rsidRDefault="00DA1939">
      <w:r>
        <w:t>Tabella 1 – Indice di emissione standard di alcune filiere energetiche da biomassa</w:t>
      </w:r>
    </w:p>
    <w:tbl>
      <w:tblPr>
        <w:tblStyle w:val="Grigliatabella"/>
        <w:tblW w:w="0" w:type="auto"/>
        <w:tblLook w:val="04A0" w:firstRow="1" w:lastRow="0" w:firstColumn="1" w:lastColumn="0" w:noHBand="0" w:noVBand="1"/>
      </w:tblPr>
      <w:tblGrid>
        <w:gridCol w:w="6799"/>
        <w:gridCol w:w="2829"/>
      </w:tblGrid>
      <w:tr w:rsidR="00DA1939" w:rsidTr="001A5F1E">
        <w:tc>
          <w:tcPr>
            <w:tcW w:w="6799" w:type="dxa"/>
          </w:tcPr>
          <w:p w:rsidR="00DA1939" w:rsidRDefault="00DA1939">
            <w:r>
              <w:t>Filiera biomassa</w:t>
            </w:r>
          </w:p>
        </w:tc>
        <w:tc>
          <w:tcPr>
            <w:tcW w:w="2829" w:type="dxa"/>
          </w:tcPr>
          <w:p w:rsidR="00DA1939" w:rsidRDefault="00DA1939">
            <w:r>
              <w:t>Indice di emissione standard</w:t>
            </w:r>
          </w:p>
          <w:p w:rsidR="00DA1939" w:rsidRDefault="00DA1939">
            <w:r>
              <w:t>(</w:t>
            </w:r>
            <w:proofErr w:type="gramStart"/>
            <w:r>
              <w:t>gCO</w:t>
            </w:r>
            <w:proofErr w:type="gramEnd"/>
            <w:r w:rsidRPr="00DA1939">
              <w:rPr>
                <w:vertAlign w:val="subscript"/>
              </w:rPr>
              <w:t>2eq</w:t>
            </w:r>
            <w:r>
              <w:t>/MJ)</w:t>
            </w:r>
          </w:p>
        </w:tc>
      </w:tr>
      <w:tr w:rsidR="00DA1939" w:rsidTr="001A5F1E">
        <w:tc>
          <w:tcPr>
            <w:tcW w:w="6799" w:type="dxa"/>
          </w:tcPr>
          <w:p w:rsidR="00DA1939" w:rsidRDefault="00DA1939">
            <w:proofErr w:type="spellStart"/>
            <w:r>
              <w:t>Cippato</w:t>
            </w:r>
            <w:proofErr w:type="spellEnd"/>
            <w:r>
              <w:t xml:space="preserve"> di legno da residui forestali (0-70 km)</w:t>
            </w:r>
          </w:p>
        </w:tc>
        <w:tc>
          <w:tcPr>
            <w:tcW w:w="2829" w:type="dxa"/>
          </w:tcPr>
          <w:p w:rsidR="00DA1939" w:rsidRDefault="00DA1939" w:rsidP="001A5F1E">
            <w:pPr>
              <w:jc w:val="center"/>
            </w:pPr>
            <w:r>
              <w:t>1,02</w:t>
            </w:r>
          </w:p>
        </w:tc>
      </w:tr>
      <w:tr w:rsidR="00DA1939" w:rsidTr="001A5F1E">
        <w:tc>
          <w:tcPr>
            <w:tcW w:w="6799" w:type="dxa"/>
          </w:tcPr>
          <w:p w:rsidR="00DA1939" w:rsidRDefault="00DA1939">
            <w:proofErr w:type="spellStart"/>
            <w:r>
              <w:t>Cippato</w:t>
            </w:r>
            <w:proofErr w:type="spellEnd"/>
            <w:r>
              <w:t xml:space="preserve"> di legno da residui forestali (71-200 km)</w:t>
            </w:r>
          </w:p>
        </w:tc>
        <w:tc>
          <w:tcPr>
            <w:tcW w:w="2829" w:type="dxa"/>
          </w:tcPr>
          <w:p w:rsidR="00DA1939" w:rsidRDefault="00DA1939" w:rsidP="001A5F1E">
            <w:pPr>
              <w:jc w:val="center"/>
            </w:pPr>
            <w:r>
              <w:t>2,07</w:t>
            </w:r>
          </w:p>
        </w:tc>
      </w:tr>
      <w:tr w:rsidR="001A5F1E" w:rsidTr="001A5F1E">
        <w:tc>
          <w:tcPr>
            <w:tcW w:w="6799" w:type="dxa"/>
          </w:tcPr>
          <w:p w:rsidR="001A5F1E" w:rsidRDefault="001A5F1E">
            <w:proofErr w:type="spellStart"/>
            <w:r>
              <w:t>Cippato</w:t>
            </w:r>
            <w:proofErr w:type="spellEnd"/>
            <w:r>
              <w:t xml:space="preserve"> di legno da selvicoltura (0-70 km)</w:t>
            </w:r>
          </w:p>
        </w:tc>
        <w:tc>
          <w:tcPr>
            <w:tcW w:w="2829" w:type="dxa"/>
          </w:tcPr>
          <w:p w:rsidR="001A5F1E" w:rsidRDefault="001A5F1E" w:rsidP="001A5F1E">
            <w:pPr>
              <w:jc w:val="center"/>
            </w:pPr>
            <w:r>
              <w:t>4,68</w:t>
            </w:r>
          </w:p>
        </w:tc>
      </w:tr>
      <w:tr w:rsidR="001A5F1E" w:rsidTr="001A5F1E">
        <w:tc>
          <w:tcPr>
            <w:tcW w:w="6799" w:type="dxa"/>
          </w:tcPr>
          <w:p w:rsidR="001A5F1E" w:rsidRDefault="001A5F1E" w:rsidP="001A5F1E">
            <w:proofErr w:type="spellStart"/>
            <w:r>
              <w:t>Cippato</w:t>
            </w:r>
            <w:proofErr w:type="spellEnd"/>
            <w:r>
              <w:t xml:space="preserve"> di legno da selvicoltura (71-200 km)</w:t>
            </w:r>
          </w:p>
        </w:tc>
        <w:tc>
          <w:tcPr>
            <w:tcW w:w="2829" w:type="dxa"/>
          </w:tcPr>
          <w:p w:rsidR="001A5F1E" w:rsidRDefault="001A5F1E" w:rsidP="001A5F1E">
            <w:pPr>
              <w:jc w:val="center"/>
            </w:pPr>
            <w:r>
              <w:t>5,73</w:t>
            </w:r>
          </w:p>
        </w:tc>
      </w:tr>
      <w:tr w:rsidR="00DA1939" w:rsidTr="001A5F1E">
        <w:tc>
          <w:tcPr>
            <w:tcW w:w="6799" w:type="dxa"/>
          </w:tcPr>
          <w:p w:rsidR="00DA1939" w:rsidRDefault="00DA1939">
            <w:r>
              <w:t xml:space="preserve">Bricchette o </w:t>
            </w:r>
            <w:proofErr w:type="spellStart"/>
            <w:r>
              <w:t>pellet</w:t>
            </w:r>
            <w:proofErr w:type="spellEnd"/>
            <w:r>
              <w:t xml:space="preserve"> di legno da residui forestali</w:t>
            </w:r>
            <w:r w:rsidR="001A5F1E">
              <w:t xml:space="preserve"> (0-70 km)</w:t>
            </w:r>
          </w:p>
        </w:tc>
        <w:tc>
          <w:tcPr>
            <w:tcW w:w="2829" w:type="dxa"/>
          </w:tcPr>
          <w:p w:rsidR="00DA1939" w:rsidRDefault="001A5F1E" w:rsidP="001A5F1E">
            <w:pPr>
              <w:jc w:val="center"/>
            </w:pPr>
            <w:r>
              <w:t>1,75</w:t>
            </w:r>
          </w:p>
        </w:tc>
      </w:tr>
      <w:tr w:rsidR="00DA1939" w:rsidTr="001A5F1E">
        <w:tc>
          <w:tcPr>
            <w:tcW w:w="6799" w:type="dxa"/>
          </w:tcPr>
          <w:p w:rsidR="00DA1939" w:rsidRDefault="001A5F1E" w:rsidP="001A5F1E">
            <w:r>
              <w:t xml:space="preserve">Bricchette o </w:t>
            </w:r>
            <w:proofErr w:type="spellStart"/>
            <w:r>
              <w:t>pellet</w:t>
            </w:r>
            <w:proofErr w:type="spellEnd"/>
            <w:r>
              <w:t xml:space="preserve"> di legno da residui forestali (71-200 km)</w:t>
            </w:r>
          </w:p>
        </w:tc>
        <w:tc>
          <w:tcPr>
            <w:tcW w:w="2829" w:type="dxa"/>
          </w:tcPr>
          <w:p w:rsidR="00DA1939" w:rsidRDefault="001A5F1E" w:rsidP="001A5F1E">
            <w:pPr>
              <w:jc w:val="center"/>
            </w:pPr>
            <w:r>
              <w:t>3,62</w:t>
            </w:r>
          </w:p>
        </w:tc>
      </w:tr>
      <w:tr w:rsidR="00DA1939" w:rsidTr="001A5F1E">
        <w:tc>
          <w:tcPr>
            <w:tcW w:w="6799" w:type="dxa"/>
          </w:tcPr>
          <w:p w:rsidR="001A5F1E" w:rsidRDefault="001A5F1E">
            <w:r>
              <w:t>Biogas da residui zootecnici (0-10 km)</w:t>
            </w:r>
          </w:p>
        </w:tc>
        <w:tc>
          <w:tcPr>
            <w:tcW w:w="2829" w:type="dxa"/>
          </w:tcPr>
          <w:p w:rsidR="00DA1939" w:rsidRDefault="001A5F1E" w:rsidP="001A5F1E">
            <w:pPr>
              <w:jc w:val="center"/>
            </w:pPr>
            <w:r>
              <w:t>7,84</w:t>
            </w:r>
          </w:p>
        </w:tc>
      </w:tr>
      <w:tr w:rsidR="001A5F1E" w:rsidTr="001A5F1E">
        <w:tc>
          <w:tcPr>
            <w:tcW w:w="6799" w:type="dxa"/>
          </w:tcPr>
          <w:p w:rsidR="001A5F1E" w:rsidRDefault="001A5F1E">
            <w:r>
              <w:t>Biogas da residui zootecnici (11-30 km)</w:t>
            </w:r>
          </w:p>
        </w:tc>
        <w:tc>
          <w:tcPr>
            <w:tcW w:w="2829" w:type="dxa"/>
          </w:tcPr>
          <w:p w:rsidR="001A5F1E" w:rsidRDefault="001A5F1E" w:rsidP="001A5F1E">
            <w:pPr>
              <w:jc w:val="center"/>
            </w:pPr>
            <w:r>
              <w:t>9,71</w:t>
            </w:r>
          </w:p>
        </w:tc>
      </w:tr>
      <w:tr w:rsidR="001A5F1E" w:rsidTr="001A5F1E">
        <w:tc>
          <w:tcPr>
            <w:tcW w:w="6799" w:type="dxa"/>
          </w:tcPr>
          <w:p w:rsidR="001A5F1E" w:rsidRDefault="001A5F1E">
            <w:r>
              <w:t>Biogas da residui agroalimentari (0-70 km)</w:t>
            </w:r>
          </w:p>
        </w:tc>
        <w:tc>
          <w:tcPr>
            <w:tcW w:w="2829" w:type="dxa"/>
          </w:tcPr>
          <w:p w:rsidR="001A5F1E" w:rsidRDefault="00736B24" w:rsidP="001A5F1E">
            <w:pPr>
              <w:jc w:val="center"/>
            </w:pPr>
            <w:r>
              <w:t>11,51</w:t>
            </w:r>
          </w:p>
        </w:tc>
      </w:tr>
    </w:tbl>
    <w:p w:rsidR="00DA1939" w:rsidRDefault="00DA1939"/>
    <w:p w:rsidR="004167F0" w:rsidRDefault="004167F0" w:rsidP="00334726">
      <w:pPr>
        <w:jc w:val="both"/>
      </w:pPr>
      <w:r>
        <w:t>Riguardo le altre fonti di energia rinnovabile diverse dalla biomassa</w:t>
      </w:r>
      <w:r w:rsidR="00334726">
        <w:t xml:space="preserve">, considerando che non ci sono riferimenti a norme tecniche specifiche, possono essere riportati indici di emissione presi da </w:t>
      </w:r>
      <w:r w:rsidR="00E42EAE">
        <w:t xml:space="preserve">fonti </w:t>
      </w:r>
      <w:r w:rsidR="00334726">
        <w:t>bibliografi</w:t>
      </w:r>
      <w:r w:rsidR="00E42EAE">
        <w:t>ch</w:t>
      </w:r>
      <w:r w:rsidR="00334726">
        <w:t>e</w:t>
      </w:r>
      <w:r w:rsidR="00E42EAE">
        <w:t xml:space="preserve"> o tecniche attendibili</w:t>
      </w:r>
      <w:r w:rsidR="00334726">
        <w:t xml:space="preserve"> </w:t>
      </w:r>
      <w:r w:rsidR="00334726" w:rsidRPr="005502DF">
        <w:t>relativ</w:t>
      </w:r>
      <w:r w:rsidR="00334726">
        <w:t>e</w:t>
      </w:r>
      <w:r w:rsidR="00334726" w:rsidRPr="005502DF">
        <w:t xml:space="preserve"> allo specifico investimento, indicando </w:t>
      </w:r>
      <w:r w:rsidR="00B42003">
        <w:t xml:space="preserve">in maniera chiara </w:t>
      </w:r>
      <w:r w:rsidR="00334726" w:rsidRPr="005502DF">
        <w:t>la fonte presa a riferimento.</w:t>
      </w:r>
      <w:r w:rsidR="00334726">
        <w:t xml:space="preserve"> Il valore deve comprendere le emissioni prodotte dalla fase iniziale di costruzione e installazione dell’impianto fino alle emissioni generate durante il processo di produzione del combustibile.</w:t>
      </w:r>
    </w:p>
    <w:p w:rsidR="00984BEA" w:rsidRDefault="00F45E24" w:rsidP="003464C7">
      <w:pPr>
        <w:jc w:val="both"/>
      </w:pPr>
      <w:r>
        <w:t xml:space="preserve">Per ottenere il </w:t>
      </w:r>
      <w:r w:rsidR="00B42003">
        <w:t xml:space="preserve">valore corrispondente al </w:t>
      </w:r>
      <w:r>
        <w:t xml:space="preserve">risparmio delle emissioni di gas serra, </w:t>
      </w:r>
      <w:r w:rsidR="00B42003">
        <w:t xml:space="preserve">nel calcolo </w:t>
      </w:r>
      <w:r>
        <w:t>deve essere compreso anche il processo di conversione energetica in elettricità, calore o raffreddamento</w:t>
      </w:r>
      <w:r w:rsidR="003464C7">
        <w:t>. Per conseguire tale valore si devono utilizzare le seguenti formule:</w:t>
      </w:r>
    </w:p>
    <w:p w:rsidR="00984BEA" w:rsidRDefault="00984BEA" w:rsidP="003464C7">
      <w:pPr>
        <w:jc w:val="both"/>
      </w:pPr>
      <w:r>
        <w:t>Per gli impianti che producono solo calore utile:</w:t>
      </w:r>
    </w:p>
    <w:p w:rsidR="003464C7" w:rsidRPr="00984BEA" w:rsidRDefault="00533618" w:rsidP="003464C7">
      <w:pPr>
        <w:jc w:val="both"/>
        <w:rPr>
          <w:rFonts w:eastAsiaTheme="minorEastAsia"/>
        </w:rPr>
      </w:pPr>
      <m:oMathPara>
        <m:oMathParaPr>
          <m:jc m:val="left"/>
        </m:oMathPara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h</m:t>
              </m:r>
            </m:sub>
          </m:sSub>
          <m:r>
            <w:rPr>
              <w:rFonts w:ascii="Cambria Math" w:hAnsi="Cambria Math"/>
              <w:vertAlign w:val="subscript"/>
            </w:rPr>
            <m:t>=</m:t>
          </m:r>
          <m:f>
            <m:fPr>
              <m:ctrlPr>
                <w:rPr>
                  <w:rFonts w:ascii="Cambria Math" w:hAnsi="Cambria Math"/>
                  <w:i/>
                </w:rPr>
              </m:ctrlPr>
            </m:fPr>
            <m:num>
              <m:r>
                <w:rPr>
                  <w:rFonts w:ascii="Cambria Math" w:hAnsi="Cambria Math"/>
                </w:rPr>
                <m:t>ES</m:t>
              </m:r>
            </m:num>
            <m:den>
              <m:sSub>
                <m:sSubPr>
                  <m:ctrlPr>
                    <w:rPr>
                      <w:rFonts w:ascii="Cambria Math" w:hAnsi="Cambria Math"/>
                      <w:i/>
                    </w:rPr>
                  </m:ctrlPr>
                </m:sSubPr>
                <m:e>
                  <m:r>
                    <w:rPr>
                      <w:rFonts w:ascii="Cambria Math" w:hAnsi="Cambria Math"/>
                    </w:rPr>
                    <m:t>η</m:t>
                  </m:r>
                </m:e>
                <m:sub>
                  <m:r>
                    <w:rPr>
                      <w:rFonts w:ascii="Cambria Math" w:hAnsi="Cambria Math"/>
                    </w:rPr>
                    <m:t>h</m:t>
                  </m:r>
                </m:sub>
              </m:sSub>
            </m:den>
          </m:f>
        </m:oMath>
      </m:oMathPara>
    </w:p>
    <w:p w:rsidR="00984BEA" w:rsidRDefault="00984BEA" w:rsidP="00984BEA">
      <w:pPr>
        <w:jc w:val="both"/>
      </w:pPr>
      <w:r>
        <w:t>Per gli impianti che producono solo elettricità:</w:t>
      </w:r>
    </w:p>
    <w:p w:rsidR="00984BEA" w:rsidRPr="003464C7" w:rsidRDefault="00533618" w:rsidP="00984BEA">
      <w:pPr>
        <w:jc w:val="both"/>
      </w:pPr>
      <m:oMathPara>
        <m:oMathParaPr>
          <m:jc m:val="left"/>
        </m:oMathPara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el</m:t>
              </m:r>
            </m:sub>
          </m:sSub>
          <m:r>
            <w:rPr>
              <w:rFonts w:ascii="Cambria Math" w:hAnsi="Cambria Math"/>
              <w:vertAlign w:val="subscript"/>
            </w:rPr>
            <m:t>=</m:t>
          </m:r>
          <m:f>
            <m:fPr>
              <m:ctrlPr>
                <w:rPr>
                  <w:rFonts w:ascii="Cambria Math" w:hAnsi="Cambria Math"/>
                  <w:i/>
                </w:rPr>
              </m:ctrlPr>
            </m:fPr>
            <m:num>
              <m:r>
                <w:rPr>
                  <w:rFonts w:ascii="Cambria Math" w:hAnsi="Cambria Math"/>
                </w:rPr>
                <m:t>ES</m:t>
              </m:r>
            </m:num>
            <m:den>
              <m:sSub>
                <m:sSubPr>
                  <m:ctrlPr>
                    <w:rPr>
                      <w:rFonts w:ascii="Cambria Math" w:hAnsi="Cambria Math"/>
                      <w:i/>
                    </w:rPr>
                  </m:ctrlPr>
                </m:sSubPr>
                <m:e>
                  <m:r>
                    <w:rPr>
                      <w:rFonts w:ascii="Cambria Math" w:hAnsi="Cambria Math"/>
                    </w:rPr>
                    <m:t>η</m:t>
                  </m:r>
                </m:e>
                <m:sub>
                  <m:r>
                    <w:rPr>
                      <w:rFonts w:ascii="Cambria Math" w:hAnsi="Cambria Math"/>
                    </w:rPr>
                    <m:t>el</m:t>
                  </m:r>
                </m:sub>
              </m:sSub>
            </m:den>
          </m:f>
        </m:oMath>
      </m:oMathPara>
    </w:p>
    <w:p w:rsidR="00984BEA" w:rsidRDefault="00984BEA" w:rsidP="00984BEA">
      <w:pPr>
        <w:jc w:val="both"/>
      </w:pPr>
      <w:r>
        <w:t>Per gli impianti che producono solo raffreddamento utile:</w:t>
      </w:r>
    </w:p>
    <w:p w:rsidR="00984BEA" w:rsidRPr="003464C7" w:rsidRDefault="00533618" w:rsidP="00984BEA">
      <w:pPr>
        <w:jc w:val="both"/>
      </w:pPr>
      <m:oMathPara>
        <m:oMathParaPr>
          <m:jc m:val="left"/>
        </m:oMathPara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c</m:t>
              </m:r>
            </m:sub>
          </m:sSub>
          <m:r>
            <w:rPr>
              <w:rFonts w:ascii="Cambria Math" w:hAnsi="Cambria Math"/>
              <w:vertAlign w:val="subscript"/>
            </w:rPr>
            <m:t>=</m:t>
          </m:r>
          <m:f>
            <m:fPr>
              <m:ctrlPr>
                <w:rPr>
                  <w:rFonts w:ascii="Cambria Math" w:hAnsi="Cambria Math"/>
                  <w:i/>
                </w:rPr>
              </m:ctrlPr>
            </m:fPr>
            <m:num>
              <m:r>
                <w:rPr>
                  <w:rFonts w:ascii="Cambria Math" w:hAnsi="Cambria Math"/>
                </w:rPr>
                <m:t>ES</m:t>
              </m:r>
            </m:num>
            <m:den>
              <m:sSub>
                <m:sSubPr>
                  <m:ctrlPr>
                    <w:rPr>
                      <w:rFonts w:ascii="Cambria Math" w:hAnsi="Cambria Math"/>
                      <w:i/>
                    </w:rPr>
                  </m:ctrlPr>
                </m:sSubPr>
                <m:e>
                  <m:r>
                    <w:rPr>
                      <w:rFonts w:ascii="Cambria Math" w:hAnsi="Cambria Math"/>
                    </w:rPr>
                    <m:t>η</m:t>
                  </m:r>
                </m:e>
                <m:sub>
                  <m:r>
                    <w:rPr>
                      <w:rFonts w:ascii="Cambria Math" w:hAnsi="Cambria Math"/>
                    </w:rPr>
                    <m:t>c</m:t>
                  </m:r>
                </m:sub>
              </m:sSub>
            </m:den>
          </m:f>
        </m:oMath>
      </m:oMathPara>
    </w:p>
    <w:p w:rsidR="00984BEA" w:rsidRDefault="00984BEA" w:rsidP="003464C7">
      <w:pPr>
        <w:jc w:val="both"/>
      </w:pPr>
      <w:r>
        <w:t>Dove:</w:t>
      </w:r>
    </w:p>
    <w:p w:rsidR="00984BEA" w:rsidRDefault="00984BEA" w:rsidP="003464C7">
      <w:pPr>
        <w:jc w:val="both"/>
        <w:rPr>
          <w:rFonts w:eastAsiaTheme="minorEastAsia"/>
        </w:rPr>
      </w:pPr>
      <m:oMath>
        <m:r>
          <w:rPr>
            <w:rFonts w:ascii="Cambria Math" w:hAnsi="Cambria Math"/>
          </w:rPr>
          <m:t>ES</m:t>
        </m:r>
      </m:oMath>
      <w:r>
        <w:rPr>
          <w:rFonts w:eastAsiaTheme="minorEastAsia"/>
        </w:rPr>
        <w:t xml:space="preserve"> </w:t>
      </w:r>
      <w:proofErr w:type="gramStart"/>
      <w:r>
        <w:rPr>
          <w:rFonts w:eastAsiaTheme="minorEastAsia"/>
        </w:rPr>
        <w:t>è</w:t>
      </w:r>
      <w:proofErr w:type="gramEnd"/>
      <w:r>
        <w:rPr>
          <w:rFonts w:eastAsiaTheme="minorEastAsia"/>
        </w:rPr>
        <w:t xml:space="preserve"> l’indice di emissione standard della filiera considerata (tabella 1);</w:t>
      </w:r>
    </w:p>
    <w:p w:rsidR="00984BEA" w:rsidRDefault="00533618" w:rsidP="003464C7">
      <w:pPr>
        <w:jc w:val="both"/>
        <w:rPr>
          <w:rFonts w:eastAsiaTheme="minorEastAsia"/>
        </w:rPr>
      </w:p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h</m:t>
            </m:r>
          </m:sub>
        </m:sSub>
      </m:oMath>
      <w:r w:rsidR="00984BEA">
        <w:rPr>
          <w:rFonts w:eastAsiaTheme="minorEastAsia"/>
          <w:vertAlign w:val="subscript"/>
        </w:rPr>
        <w:t xml:space="preserve"> </w:t>
      </w:r>
      <w:proofErr w:type="gramStart"/>
      <w:r w:rsidR="00984BEA">
        <w:rPr>
          <w:rFonts w:eastAsiaTheme="minorEastAsia"/>
        </w:rPr>
        <w:t>sono</w:t>
      </w:r>
      <w:proofErr w:type="gramEnd"/>
      <w:r w:rsidR="00984BEA">
        <w:rPr>
          <w:rFonts w:eastAsiaTheme="minorEastAsia"/>
        </w:rPr>
        <w:t xml:space="preserve"> le emissioni</w:t>
      </w:r>
      <w:r w:rsidR="004167F0">
        <w:rPr>
          <w:rFonts w:eastAsiaTheme="minorEastAsia"/>
        </w:rPr>
        <w:t xml:space="preserve"> di gas serra complessive della </w:t>
      </w:r>
      <w:r w:rsidR="00984BEA">
        <w:rPr>
          <w:rFonts w:eastAsiaTheme="minorEastAsia"/>
        </w:rPr>
        <w:t>produzione del riscaldamento;</w:t>
      </w:r>
    </w:p>
    <w:p w:rsidR="00984BEA" w:rsidRDefault="00533618" w:rsidP="00984BEA">
      <w:pPr>
        <w:jc w:val="both"/>
        <w:rPr>
          <w:rFonts w:eastAsiaTheme="minorEastAsia"/>
        </w:rPr>
      </w:p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el</m:t>
            </m:r>
          </m:sub>
        </m:sSub>
      </m:oMath>
      <w:r w:rsidR="00984BEA">
        <w:rPr>
          <w:rFonts w:eastAsiaTheme="minorEastAsia"/>
          <w:vertAlign w:val="subscript"/>
        </w:rPr>
        <w:t xml:space="preserve"> </w:t>
      </w:r>
      <w:proofErr w:type="gramStart"/>
      <w:r w:rsidR="00984BEA">
        <w:rPr>
          <w:rFonts w:eastAsiaTheme="minorEastAsia"/>
        </w:rPr>
        <w:t>sono</w:t>
      </w:r>
      <w:proofErr w:type="gramEnd"/>
      <w:r w:rsidR="00984BEA">
        <w:rPr>
          <w:rFonts w:eastAsiaTheme="minorEastAsia"/>
        </w:rPr>
        <w:t xml:space="preserve"> le emissioni di gas serra complessive della produzione di elettricità;</w:t>
      </w:r>
    </w:p>
    <w:p w:rsidR="004167F0" w:rsidRDefault="00533618" w:rsidP="004167F0">
      <w:pPr>
        <w:jc w:val="both"/>
        <w:rPr>
          <w:rFonts w:eastAsiaTheme="minorEastAsia"/>
        </w:rPr>
      </w:pPr>
      <m:oMath>
        <m:sSub>
          <m:sSubPr>
            <m:ctrlPr>
              <w:rPr>
                <w:rFonts w:ascii="Cambria Math" w:hAnsi="Cambria Math"/>
                <w:i/>
                <w:vertAlign w:val="subscript"/>
              </w:rPr>
            </m:ctrlPr>
          </m:sSubPr>
          <m:e>
            <m:r>
              <w:rPr>
                <w:rFonts w:ascii="Cambria Math" w:hAnsi="Cambria Math"/>
                <w:vertAlign w:val="subscript"/>
              </w:rPr>
              <m:t>EC</m:t>
            </m:r>
          </m:e>
          <m:sub>
            <m:r>
              <w:rPr>
                <w:rFonts w:ascii="Cambria Math" w:hAnsi="Cambria Math"/>
                <w:vertAlign w:val="subscript"/>
              </w:rPr>
              <m:t>c</m:t>
            </m:r>
          </m:sub>
        </m:sSub>
      </m:oMath>
      <w:r w:rsidR="004167F0">
        <w:rPr>
          <w:rFonts w:eastAsiaTheme="minorEastAsia"/>
          <w:vertAlign w:val="subscript"/>
        </w:rPr>
        <w:t xml:space="preserve"> </w:t>
      </w:r>
      <w:proofErr w:type="gramStart"/>
      <w:r w:rsidR="004167F0">
        <w:rPr>
          <w:rFonts w:eastAsiaTheme="minorEastAsia"/>
        </w:rPr>
        <w:t>sono</w:t>
      </w:r>
      <w:proofErr w:type="gramEnd"/>
      <w:r w:rsidR="004167F0">
        <w:rPr>
          <w:rFonts w:eastAsiaTheme="minorEastAsia"/>
        </w:rPr>
        <w:t xml:space="preserve"> le emissioni di gas serra complessive della produzione del raffreddamento;</w:t>
      </w:r>
    </w:p>
    <w:p w:rsidR="00984BEA" w:rsidRDefault="00533618" w:rsidP="003464C7">
      <w:pPr>
        <w:jc w:val="both"/>
        <w:rPr>
          <w:rFonts w:eastAsiaTheme="minorEastAsia"/>
        </w:rPr>
      </w:pPr>
      <m:oMath>
        <m:sSub>
          <m:sSubPr>
            <m:ctrlPr>
              <w:rPr>
                <w:rFonts w:ascii="Cambria Math" w:hAnsi="Cambria Math"/>
                <w:i/>
              </w:rPr>
            </m:ctrlPr>
          </m:sSubPr>
          <m:e>
            <m:r>
              <w:rPr>
                <w:rFonts w:ascii="Cambria Math" w:hAnsi="Cambria Math"/>
              </w:rPr>
              <m:t>η</m:t>
            </m:r>
          </m:e>
          <m:sub>
            <m:r>
              <w:rPr>
                <w:rFonts w:ascii="Cambria Math" w:hAnsi="Cambria Math"/>
              </w:rPr>
              <m:t>h</m:t>
            </m:r>
          </m:sub>
        </m:sSub>
      </m:oMath>
      <w:r w:rsidR="004167F0">
        <w:rPr>
          <w:rFonts w:eastAsiaTheme="minorEastAsia"/>
        </w:rPr>
        <w:t xml:space="preserve"> </w:t>
      </w:r>
      <w:proofErr w:type="gramStart"/>
      <w:r w:rsidR="004167F0">
        <w:rPr>
          <w:rFonts w:eastAsiaTheme="minorEastAsia"/>
        </w:rPr>
        <w:t>è</w:t>
      </w:r>
      <w:proofErr w:type="gramEnd"/>
      <w:r w:rsidR="004167F0">
        <w:rPr>
          <w:rFonts w:eastAsiaTheme="minorEastAsia"/>
        </w:rPr>
        <w:t xml:space="preserve"> l’efficienza termica, definita come il calore utile annuo prodotto, ovvero il calore generato per far fronte ad una domanda non superiore al fabbisogno di calore, diviso per l’input energetico annuo di combustibile;</w:t>
      </w:r>
    </w:p>
    <w:p w:rsidR="004167F0" w:rsidRDefault="00533618" w:rsidP="004167F0">
      <w:pPr>
        <w:jc w:val="both"/>
        <w:rPr>
          <w:rFonts w:eastAsiaTheme="minorEastAsia"/>
        </w:rPr>
      </w:pPr>
      <m:oMath>
        <m:sSub>
          <m:sSubPr>
            <m:ctrlPr>
              <w:rPr>
                <w:rFonts w:ascii="Cambria Math" w:hAnsi="Cambria Math"/>
                <w:i/>
              </w:rPr>
            </m:ctrlPr>
          </m:sSubPr>
          <m:e>
            <m:r>
              <w:rPr>
                <w:rFonts w:ascii="Cambria Math" w:hAnsi="Cambria Math"/>
              </w:rPr>
              <m:t>η</m:t>
            </m:r>
          </m:e>
          <m:sub>
            <m:r>
              <w:rPr>
                <w:rFonts w:ascii="Cambria Math" w:hAnsi="Cambria Math"/>
              </w:rPr>
              <m:t>el</m:t>
            </m:r>
          </m:sub>
        </m:sSub>
      </m:oMath>
      <w:r w:rsidR="004167F0">
        <w:rPr>
          <w:rFonts w:eastAsiaTheme="minorEastAsia"/>
        </w:rPr>
        <w:t xml:space="preserve"> </w:t>
      </w:r>
      <w:proofErr w:type="gramStart"/>
      <w:r w:rsidR="004167F0">
        <w:rPr>
          <w:rFonts w:eastAsiaTheme="minorEastAsia"/>
        </w:rPr>
        <w:t>è</w:t>
      </w:r>
      <w:proofErr w:type="gramEnd"/>
      <w:r w:rsidR="004167F0">
        <w:rPr>
          <w:rFonts w:eastAsiaTheme="minorEastAsia"/>
        </w:rPr>
        <w:t xml:space="preserve"> l’efficienza elettrica, definita come l’elettricità prodotta, diviso per l’input energetico annuo di combustibile;</w:t>
      </w:r>
    </w:p>
    <w:p w:rsidR="004167F0" w:rsidRDefault="00533618" w:rsidP="004167F0">
      <w:pPr>
        <w:jc w:val="both"/>
        <w:rPr>
          <w:rFonts w:eastAsiaTheme="minorEastAsia"/>
        </w:rPr>
      </w:pPr>
      <m:oMath>
        <m:sSub>
          <m:sSubPr>
            <m:ctrlPr>
              <w:rPr>
                <w:rFonts w:ascii="Cambria Math" w:hAnsi="Cambria Math"/>
                <w:i/>
              </w:rPr>
            </m:ctrlPr>
          </m:sSubPr>
          <m:e>
            <m:r>
              <w:rPr>
                <w:rFonts w:ascii="Cambria Math" w:hAnsi="Cambria Math"/>
              </w:rPr>
              <m:t>η</m:t>
            </m:r>
          </m:e>
          <m:sub>
            <m:r>
              <w:rPr>
                <w:rFonts w:ascii="Cambria Math" w:hAnsi="Cambria Math"/>
              </w:rPr>
              <m:t>c</m:t>
            </m:r>
          </m:sub>
        </m:sSub>
      </m:oMath>
      <w:r w:rsidR="004167F0">
        <w:rPr>
          <w:rFonts w:eastAsiaTheme="minorEastAsia"/>
        </w:rPr>
        <w:t xml:space="preserve"> </w:t>
      </w:r>
      <w:proofErr w:type="gramStart"/>
      <w:r w:rsidR="004167F0">
        <w:rPr>
          <w:rFonts w:eastAsiaTheme="minorEastAsia"/>
        </w:rPr>
        <w:t>è</w:t>
      </w:r>
      <w:proofErr w:type="gramEnd"/>
      <w:r w:rsidR="004167F0">
        <w:rPr>
          <w:rFonts w:eastAsiaTheme="minorEastAsia"/>
        </w:rPr>
        <w:t xml:space="preserve"> l’efficienza termica, definita come il freddo utile annuo prodotto, ovvero il freddo generato per far fronte ad una domanda non superiore al fabbisogno di raffreddamento, diviso per l’input energetico annuo di combustibile.</w:t>
      </w:r>
    </w:p>
    <w:p w:rsidR="004167F0" w:rsidRDefault="004167F0" w:rsidP="004167F0">
      <w:pPr>
        <w:jc w:val="both"/>
        <w:rPr>
          <w:rFonts w:eastAsiaTheme="minorEastAsia"/>
        </w:rPr>
      </w:pPr>
      <w:r>
        <w:rPr>
          <w:rFonts w:eastAsiaTheme="minorEastAsia"/>
        </w:rPr>
        <w:t xml:space="preserve">L’energia termica </w:t>
      </w:r>
      <w:r w:rsidR="00334726">
        <w:rPr>
          <w:rFonts w:eastAsiaTheme="minorEastAsia"/>
        </w:rPr>
        <w:t xml:space="preserve">o elettrica </w:t>
      </w:r>
      <w:r>
        <w:rPr>
          <w:rFonts w:eastAsiaTheme="minorEastAsia"/>
        </w:rPr>
        <w:t>coprodotta, per motivi di semplificazione, non viene conteggiata nel calcolo. Pertanto per il calcolo di EC si considera soltanto la produzione di energia principale.</w:t>
      </w:r>
    </w:p>
    <w:p w:rsidR="00E42EAE" w:rsidRDefault="00E42EAE" w:rsidP="00E42EAE">
      <w:pPr>
        <w:jc w:val="both"/>
      </w:pPr>
      <w:r>
        <w:rPr>
          <w:rFonts w:eastAsiaTheme="minorEastAsia"/>
        </w:rPr>
        <w:t xml:space="preserve">Per quello che riguarda l’estrazione e produzione di </w:t>
      </w:r>
      <w:proofErr w:type="spellStart"/>
      <w:r>
        <w:rPr>
          <w:rFonts w:eastAsiaTheme="minorEastAsia"/>
        </w:rPr>
        <w:t>bioprodotti</w:t>
      </w:r>
      <w:proofErr w:type="spellEnd"/>
      <w:r>
        <w:rPr>
          <w:rFonts w:eastAsiaTheme="minorEastAsia"/>
        </w:rPr>
        <w:t>,</w:t>
      </w:r>
      <w:r w:rsidRPr="00E42EAE">
        <w:t xml:space="preserve"> </w:t>
      </w:r>
      <w:r>
        <w:t>il valore delle emissioni di gas serra può</w:t>
      </w:r>
      <w:r>
        <w:t xml:space="preserve"> essere </w:t>
      </w:r>
      <w:r>
        <w:t>ricavato da</w:t>
      </w:r>
      <w:r>
        <w:t xml:space="preserve"> indici di emissione presi da </w:t>
      </w:r>
      <w:r>
        <w:t xml:space="preserve">fonti </w:t>
      </w:r>
      <w:r>
        <w:t>bibliografi</w:t>
      </w:r>
      <w:r>
        <w:t>ch</w:t>
      </w:r>
      <w:r>
        <w:t xml:space="preserve">e </w:t>
      </w:r>
      <w:r>
        <w:t xml:space="preserve">o tecniche attendibili </w:t>
      </w:r>
      <w:r w:rsidRPr="005502DF">
        <w:t>relativ</w:t>
      </w:r>
      <w:r>
        <w:t>e</w:t>
      </w:r>
      <w:r w:rsidRPr="005502DF">
        <w:t xml:space="preserve"> allo specifico investimento, indicando </w:t>
      </w:r>
      <w:r>
        <w:t xml:space="preserve">in maniera chiara </w:t>
      </w:r>
      <w:r>
        <w:t xml:space="preserve">la fonte </w:t>
      </w:r>
      <w:r w:rsidRPr="005502DF">
        <w:t>presa a riferimento.</w:t>
      </w:r>
      <w:r>
        <w:t xml:space="preserve"> Il valore deve comprendere le emissioni prodotte dalla fase iniziale di costruzione e installazione dell’impianto fino alle emissioni generate durante il processo di produzione del </w:t>
      </w:r>
      <w:proofErr w:type="spellStart"/>
      <w:r>
        <w:t>bioprodotto</w:t>
      </w:r>
      <w:proofErr w:type="spellEnd"/>
      <w:r>
        <w:t>.</w:t>
      </w:r>
    </w:p>
    <w:p w:rsidR="00334726" w:rsidRDefault="00334726" w:rsidP="004167F0">
      <w:pPr>
        <w:jc w:val="both"/>
      </w:pPr>
      <w:r>
        <w:rPr>
          <w:rFonts w:eastAsiaTheme="minorEastAsia"/>
        </w:rPr>
        <w:t xml:space="preserve">Per calcolare il risparmio di emissioni di </w:t>
      </w:r>
      <w:r w:rsidRPr="005502DF">
        <w:rPr>
          <w:rFonts w:cs="Arial"/>
          <w:bCs/>
        </w:rPr>
        <w:t>CO</w:t>
      </w:r>
      <w:r w:rsidRPr="005502DF">
        <w:rPr>
          <w:rFonts w:cs="Arial"/>
          <w:bCs/>
          <w:vertAlign w:val="subscript"/>
        </w:rPr>
        <w:t>2</w:t>
      </w:r>
      <w:r>
        <w:rPr>
          <w:rFonts w:cs="Arial"/>
          <w:bCs/>
          <w:vertAlign w:val="subscript"/>
        </w:rPr>
        <w:t xml:space="preserve"> </w:t>
      </w:r>
      <w:r w:rsidRPr="005502DF">
        <w:t>eq</w:t>
      </w:r>
      <w:r>
        <w:t>uivalente</w:t>
      </w:r>
      <w:r w:rsidR="0059263D">
        <w:t xml:space="preserve"> grazie all’energia prodotta tramite l’uso di fonti rinnovabili</w:t>
      </w:r>
      <w:r w:rsidR="00533618">
        <w:t xml:space="preserve"> o alla produzione di </w:t>
      </w:r>
      <w:proofErr w:type="spellStart"/>
      <w:r w:rsidR="00533618">
        <w:t>bioprodotti</w:t>
      </w:r>
      <w:proofErr w:type="spellEnd"/>
      <w:r w:rsidR="0059263D">
        <w:t>, si dovrà fare riferimento alla fonte fossile utilizzata in un processo di produzione di energia all’incirca equivalente.</w:t>
      </w:r>
      <w:r w:rsidR="00533618">
        <w:t xml:space="preserve"> </w:t>
      </w:r>
    </w:p>
    <w:p w:rsidR="00334726" w:rsidRDefault="0059263D" w:rsidP="0059263D">
      <w:pPr>
        <w:overflowPunct w:val="0"/>
        <w:autoSpaceDE w:val="0"/>
        <w:autoSpaceDN w:val="0"/>
        <w:adjustRightInd w:val="0"/>
        <w:spacing w:after="0" w:line="240" w:lineRule="auto"/>
        <w:jc w:val="both"/>
        <w:textAlignment w:val="baseline"/>
        <w:rPr>
          <w:rFonts w:cs="Arial"/>
          <w:bCs/>
        </w:rPr>
      </w:pPr>
      <w:r>
        <w:rPr>
          <w:rFonts w:cs="Arial"/>
          <w:bCs/>
        </w:rPr>
        <w:t xml:space="preserve">Per il calcolo del </w:t>
      </w:r>
      <w:r w:rsidR="00334726">
        <w:rPr>
          <w:rFonts w:cs="Arial"/>
          <w:bCs/>
        </w:rPr>
        <w:t xml:space="preserve">risparmio di emissioni di </w:t>
      </w:r>
      <w:r w:rsidRPr="005502DF">
        <w:rPr>
          <w:rFonts w:cs="Arial"/>
          <w:bCs/>
        </w:rPr>
        <w:t>CO</w:t>
      </w:r>
      <w:r w:rsidRPr="005502DF">
        <w:rPr>
          <w:rFonts w:cs="Arial"/>
          <w:bCs/>
          <w:vertAlign w:val="subscript"/>
        </w:rPr>
        <w:t>2</w:t>
      </w:r>
      <w:r w:rsidR="00334726">
        <w:rPr>
          <w:rFonts w:cs="Arial"/>
          <w:bCs/>
        </w:rPr>
        <w:t xml:space="preserve"> equivalente</w:t>
      </w:r>
      <w:r>
        <w:rPr>
          <w:rFonts w:cs="Arial"/>
          <w:bCs/>
        </w:rPr>
        <w:t>, si utilizza</w:t>
      </w:r>
      <w:r w:rsidR="00334726">
        <w:rPr>
          <w:rFonts w:cs="Arial"/>
          <w:bCs/>
        </w:rPr>
        <w:t xml:space="preserve"> la seguente formula:</w:t>
      </w:r>
    </w:p>
    <w:p w:rsidR="00334726" w:rsidRPr="005502DF" w:rsidRDefault="0059263D" w:rsidP="0059263D">
      <w:pPr>
        <w:overflowPunct w:val="0"/>
        <w:autoSpaceDE w:val="0"/>
        <w:autoSpaceDN w:val="0"/>
        <w:adjustRightInd w:val="0"/>
        <w:spacing w:after="0" w:line="240" w:lineRule="auto"/>
        <w:jc w:val="both"/>
        <w:textAlignment w:val="baseline"/>
      </w:pPr>
      <w:r w:rsidRPr="0059263D">
        <w:rPr>
          <w:rFonts w:cs="Arial"/>
          <w:bCs/>
          <w:i/>
        </w:rPr>
        <w:t>R =</w:t>
      </w:r>
      <w:r>
        <w:rPr>
          <w:rFonts w:cs="Arial"/>
          <w:bCs/>
        </w:rPr>
        <w:t xml:space="preserve"> </w:t>
      </w:r>
      <m:oMath>
        <m:f>
          <m:fPr>
            <m:ctrlPr>
              <w:rPr>
                <w:rFonts w:ascii="Cambria Math" w:hAnsi="Cambria Math"/>
                <w:i/>
                <w:sz w:val="28"/>
              </w:rPr>
            </m:ctrlPr>
          </m:fPr>
          <m:num>
            <m:r>
              <w:rPr>
                <w:rFonts w:ascii="Cambria Math" w:hAnsi="Cambria Math"/>
                <w:sz w:val="28"/>
              </w:rPr>
              <m:t>ECf-ECr</m:t>
            </m:r>
          </m:num>
          <m:den>
            <m:r>
              <w:rPr>
                <w:rFonts w:ascii="Cambria Math" w:hAnsi="Cambria Math"/>
                <w:sz w:val="28"/>
              </w:rPr>
              <m:t>ECf</m:t>
            </m:r>
          </m:den>
        </m:f>
      </m:oMath>
      <w:r w:rsidR="00334726" w:rsidRPr="005502DF">
        <w:t xml:space="preserve"> </w:t>
      </w:r>
    </w:p>
    <w:p w:rsidR="0059263D" w:rsidRDefault="0059263D" w:rsidP="0059263D">
      <w:pPr>
        <w:overflowPunct w:val="0"/>
        <w:autoSpaceDE w:val="0"/>
        <w:autoSpaceDN w:val="0"/>
        <w:adjustRightInd w:val="0"/>
        <w:spacing w:after="0" w:line="240" w:lineRule="auto"/>
        <w:jc w:val="both"/>
        <w:textAlignment w:val="baseline"/>
      </w:pPr>
      <w:r w:rsidRPr="005502DF">
        <w:t>D</w:t>
      </w:r>
      <w:r w:rsidR="00334726" w:rsidRPr="005502DF">
        <w:t>ove</w:t>
      </w:r>
      <w:r>
        <w:t>:</w:t>
      </w:r>
    </w:p>
    <w:p w:rsidR="0059263D" w:rsidRDefault="0059263D" w:rsidP="0059263D">
      <w:pPr>
        <w:overflowPunct w:val="0"/>
        <w:autoSpaceDE w:val="0"/>
        <w:autoSpaceDN w:val="0"/>
        <w:adjustRightInd w:val="0"/>
        <w:spacing w:after="0" w:line="240" w:lineRule="auto"/>
        <w:jc w:val="both"/>
        <w:textAlignment w:val="baseline"/>
      </w:pPr>
      <w:r w:rsidRPr="0059263D">
        <w:rPr>
          <w:rFonts w:eastAsiaTheme="minorEastAsia"/>
          <w:i/>
          <w:sz w:val="24"/>
        </w:rPr>
        <w:t xml:space="preserve">R </w:t>
      </w:r>
      <w:r w:rsidRPr="0059263D">
        <w:rPr>
          <w:rFonts w:cs="Arial"/>
          <w:bCs/>
        </w:rPr>
        <w:t>è il rispar</w:t>
      </w:r>
      <w:r>
        <w:rPr>
          <w:rFonts w:cs="Arial"/>
          <w:bCs/>
        </w:rPr>
        <w:t>m</w:t>
      </w:r>
      <w:r w:rsidRPr="0059263D">
        <w:rPr>
          <w:rFonts w:cs="Arial"/>
          <w:bCs/>
        </w:rPr>
        <w:t>io</w:t>
      </w:r>
      <w:r>
        <w:rPr>
          <w:rFonts w:eastAsiaTheme="minorEastAsia"/>
          <w:sz w:val="24"/>
        </w:rPr>
        <w:t xml:space="preserve"> di </w:t>
      </w:r>
      <w:r w:rsidRPr="0059263D">
        <w:rPr>
          <w:rFonts w:cs="Arial"/>
          <w:bCs/>
        </w:rPr>
        <w:t>CO</w:t>
      </w:r>
      <w:r w:rsidRPr="0059263D">
        <w:rPr>
          <w:rFonts w:cs="Arial"/>
          <w:bCs/>
          <w:vertAlign w:val="subscript"/>
        </w:rPr>
        <w:t>2</w:t>
      </w:r>
      <w:r w:rsidRPr="0059263D">
        <w:t xml:space="preserve"> </w:t>
      </w:r>
      <w:r w:rsidRPr="005502DF">
        <w:t>equivalente</w:t>
      </w:r>
      <w:r>
        <w:t>;</w:t>
      </w:r>
    </w:p>
    <w:p w:rsidR="0059263D" w:rsidRDefault="00334726" w:rsidP="0059263D">
      <w:pPr>
        <w:overflowPunct w:val="0"/>
        <w:autoSpaceDE w:val="0"/>
        <w:autoSpaceDN w:val="0"/>
        <w:adjustRightInd w:val="0"/>
        <w:spacing w:after="0" w:line="240" w:lineRule="auto"/>
        <w:jc w:val="both"/>
        <w:textAlignment w:val="baseline"/>
      </w:pPr>
      <m:oMath>
        <m:r>
          <w:rPr>
            <w:rFonts w:ascii="Cambria Math" w:hAnsi="Cambria Math"/>
            <w:sz w:val="24"/>
          </w:rPr>
          <m:t>ECf</m:t>
        </m:r>
      </m:oMath>
      <w:r w:rsidRPr="005502DF">
        <w:t xml:space="preserve"> </w:t>
      </w:r>
      <w:proofErr w:type="gramStart"/>
      <w:r w:rsidRPr="005502DF">
        <w:t>sono</w:t>
      </w:r>
      <w:proofErr w:type="gramEnd"/>
      <w:r w:rsidRPr="005502DF">
        <w:t xml:space="preserve"> le emissioni di </w:t>
      </w:r>
      <w:r w:rsidRPr="0059263D">
        <w:rPr>
          <w:rFonts w:cs="Arial"/>
          <w:bCs/>
        </w:rPr>
        <w:t>CO</w:t>
      </w:r>
      <w:r w:rsidRPr="0059263D">
        <w:rPr>
          <w:rFonts w:cs="Arial"/>
          <w:bCs/>
          <w:vertAlign w:val="subscript"/>
        </w:rPr>
        <w:t>2</w:t>
      </w:r>
      <w:r w:rsidR="0059263D">
        <w:t xml:space="preserve"> equivalente da fonte fossile;</w:t>
      </w:r>
    </w:p>
    <w:p w:rsidR="00334726" w:rsidRPr="005502DF" w:rsidRDefault="00334726" w:rsidP="0059263D">
      <w:pPr>
        <w:overflowPunct w:val="0"/>
        <w:autoSpaceDE w:val="0"/>
        <w:autoSpaceDN w:val="0"/>
        <w:adjustRightInd w:val="0"/>
        <w:spacing w:after="0" w:line="240" w:lineRule="auto"/>
        <w:jc w:val="both"/>
        <w:textAlignment w:val="baseline"/>
      </w:pPr>
      <m:oMath>
        <m:r>
          <w:rPr>
            <w:rFonts w:ascii="Cambria Math" w:hAnsi="Cambria Math"/>
            <w:sz w:val="24"/>
          </w:rPr>
          <m:t>ECr</m:t>
        </m:r>
      </m:oMath>
      <w:r w:rsidRPr="005502DF">
        <w:t xml:space="preserve"> </w:t>
      </w:r>
      <w:proofErr w:type="gramStart"/>
      <w:r w:rsidRPr="005502DF">
        <w:t>sono</w:t>
      </w:r>
      <w:proofErr w:type="gramEnd"/>
      <w:r w:rsidRPr="005502DF">
        <w:t xml:space="preserve"> le emissioni di </w:t>
      </w:r>
      <w:r w:rsidRPr="0059263D">
        <w:rPr>
          <w:rFonts w:cs="Arial"/>
          <w:bCs/>
        </w:rPr>
        <w:t>CO</w:t>
      </w:r>
      <w:r w:rsidRPr="0059263D">
        <w:rPr>
          <w:rFonts w:cs="Arial"/>
          <w:bCs/>
          <w:vertAlign w:val="subscript"/>
        </w:rPr>
        <w:t>2</w:t>
      </w:r>
      <w:r w:rsidRPr="005502DF">
        <w:t xml:space="preserve"> equivalente da fonte rinnovabile. </w:t>
      </w:r>
    </w:p>
    <w:p w:rsidR="0059263D" w:rsidRDefault="0059263D" w:rsidP="0059263D">
      <w:pPr>
        <w:overflowPunct w:val="0"/>
        <w:autoSpaceDE w:val="0"/>
        <w:autoSpaceDN w:val="0"/>
        <w:adjustRightInd w:val="0"/>
        <w:spacing w:after="0" w:line="240" w:lineRule="auto"/>
        <w:jc w:val="both"/>
        <w:textAlignment w:val="baseline"/>
      </w:pPr>
    </w:p>
    <w:p w:rsidR="00334726" w:rsidRPr="005502DF" w:rsidRDefault="00334726" w:rsidP="0059263D">
      <w:pPr>
        <w:overflowPunct w:val="0"/>
        <w:autoSpaceDE w:val="0"/>
        <w:autoSpaceDN w:val="0"/>
        <w:adjustRightInd w:val="0"/>
        <w:spacing w:after="0" w:line="240" w:lineRule="auto"/>
        <w:jc w:val="both"/>
        <w:textAlignment w:val="baseline"/>
      </w:pPr>
      <w:proofErr w:type="gramStart"/>
      <w:r w:rsidRPr="005502DF">
        <w:t xml:space="preserve">Per </w:t>
      </w:r>
      <m:oMath>
        <m:r>
          <w:rPr>
            <w:rFonts w:ascii="Cambria Math" w:hAnsi="Cambria Math"/>
            <w:sz w:val="24"/>
          </w:rPr>
          <m:t>ECf</m:t>
        </m:r>
      </m:oMath>
      <w:r w:rsidRPr="005502DF">
        <w:t xml:space="preserve"> si</w:t>
      </w:r>
      <w:proofErr w:type="gramEnd"/>
      <w:r w:rsidRPr="005502DF">
        <w:t xml:space="preserve"> possono utilizzare le seguenti emissioni da fonte fossile, </w:t>
      </w:r>
      <w:r w:rsidR="0059263D">
        <w:t xml:space="preserve">riportati </w:t>
      </w:r>
      <w:r w:rsidRPr="005502DF">
        <w:t>nel</w:t>
      </w:r>
      <w:r w:rsidR="0059263D">
        <w:t>la relazione CE</w:t>
      </w:r>
      <w:r w:rsidRPr="005502DF">
        <w:t xml:space="preserve"> </w:t>
      </w:r>
      <w:r w:rsidR="0059263D">
        <w:t>COM.</w:t>
      </w:r>
      <w:r w:rsidRPr="005502DF">
        <w:t xml:space="preserve"> 11/2010, ricavate da valori standard:</w:t>
      </w:r>
    </w:p>
    <w:p w:rsidR="0059263D" w:rsidRDefault="00533618" w:rsidP="0059263D">
      <w:pPr>
        <w:overflowPunct w:val="0"/>
        <w:autoSpaceDE w:val="0"/>
        <w:autoSpaceDN w:val="0"/>
        <w:adjustRightInd w:val="0"/>
        <w:spacing w:after="0" w:line="240" w:lineRule="auto"/>
        <w:jc w:val="both"/>
        <w:textAlignment w:val="baseline"/>
      </w:pPr>
      <m:oMath>
        <m:sSub>
          <m:sSubPr>
            <m:ctrlPr>
              <w:rPr>
                <w:rFonts w:ascii="Cambria Math" w:eastAsiaTheme="minorEastAsia" w:hAnsi="Cambria Math"/>
                <w:i/>
                <w:sz w:val="24"/>
              </w:rPr>
            </m:ctrlPr>
          </m:sSubPr>
          <m:e>
            <m:r>
              <w:rPr>
                <w:rFonts w:ascii="Cambria Math" w:eastAsiaTheme="minorEastAsia" w:hAnsi="Cambria Math"/>
                <w:sz w:val="24"/>
              </w:rPr>
              <m:t>ECf</m:t>
            </m:r>
          </m:e>
          <m:sub>
            <m:r>
              <w:rPr>
                <w:rFonts w:ascii="Cambria Math" w:eastAsiaTheme="minorEastAsia" w:hAnsi="Cambria Math"/>
                <w:sz w:val="24"/>
              </w:rPr>
              <m:t>el</m:t>
            </m:r>
          </m:sub>
        </m:sSub>
      </m:oMath>
      <w:r w:rsidR="00334726" w:rsidRPr="005502DF">
        <w:t xml:space="preserve"> (</w:t>
      </w:r>
      <w:proofErr w:type="gramStart"/>
      <w:r w:rsidR="00334726" w:rsidRPr="005502DF">
        <w:t>emissioni</w:t>
      </w:r>
      <w:proofErr w:type="gramEnd"/>
      <w:r w:rsidR="00334726" w:rsidRPr="005502DF">
        <w:t xml:space="preserve"> da fonte fossile per la produzione di energia elettrica) = 198 g</w:t>
      </w:r>
      <w:r w:rsidR="00334726" w:rsidRPr="0059263D">
        <w:rPr>
          <w:rFonts w:cs="Arial"/>
          <w:bCs/>
        </w:rPr>
        <w:t xml:space="preserve"> CO</w:t>
      </w:r>
      <w:r w:rsidR="00334726" w:rsidRPr="0059263D">
        <w:rPr>
          <w:rFonts w:cs="Arial"/>
          <w:bCs/>
          <w:vertAlign w:val="subscript"/>
        </w:rPr>
        <w:t>2</w:t>
      </w:r>
      <w:r w:rsidR="00334726" w:rsidRPr="005502DF">
        <w:t xml:space="preserve">eq/MJ; </w:t>
      </w:r>
    </w:p>
    <w:p w:rsidR="0059263D" w:rsidRDefault="00533618" w:rsidP="0059263D">
      <w:pPr>
        <w:overflowPunct w:val="0"/>
        <w:autoSpaceDE w:val="0"/>
        <w:autoSpaceDN w:val="0"/>
        <w:adjustRightInd w:val="0"/>
        <w:spacing w:after="0" w:line="240" w:lineRule="auto"/>
        <w:jc w:val="both"/>
        <w:textAlignment w:val="baseline"/>
      </w:pPr>
      <m:oMath>
        <m:sSub>
          <m:sSubPr>
            <m:ctrlPr>
              <w:rPr>
                <w:rFonts w:ascii="Cambria Math" w:eastAsiaTheme="minorEastAsia" w:hAnsi="Cambria Math"/>
                <w:i/>
                <w:sz w:val="24"/>
              </w:rPr>
            </m:ctrlPr>
          </m:sSubPr>
          <m:e>
            <m:r>
              <w:rPr>
                <w:rFonts w:ascii="Cambria Math" w:eastAsiaTheme="minorEastAsia" w:hAnsi="Cambria Math"/>
                <w:sz w:val="24"/>
              </w:rPr>
              <m:t>ECf</m:t>
            </m:r>
          </m:e>
          <m:sub>
            <m:r>
              <w:rPr>
                <w:rFonts w:ascii="Cambria Math" w:eastAsiaTheme="minorEastAsia" w:hAnsi="Cambria Math"/>
                <w:sz w:val="24"/>
              </w:rPr>
              <m:t>t</m:t>
            </m:r>
          </m:sub>
        </m:sSub>
      </m:oMath>
      <w:r w:rsidR="00334726" w:rsidRPr="005502DF">
        <w:t xml:space="preserve"> (</w:t>
      </w:r>
      <w:proofErr w:type="gramStart"/>
      <w:r w:rsidR="00334726" w:rsidRPr="005502DF">
        <w:t>emissioni</w:t>
      </w:r>
      <w:proofErr w:type="gramEnd"/>
      <w:r w:rsidR="00334726" w:rsidRPr="005502DF">
        <w:t xml:space="preserve"> da fonte fossile per la produzione di energia termica) = 87 g</w:t>
      </w:r>
      <w:r w:rsidR="00334726" w:rsidRPr="005502DF">
        <w:rPr>
          <w:rFonts w:cs="Arial"/>
          <w:bCs/>
        </w:rPr>
        <w:t xml:space="preserve"> CO</w:t>
      </w:r>
      <w:r w:rsidR="00334726" w:rsidRPr="005502DF">
        <w:rPr>
          <w:rFonts w:cs="Arial"/>
          <w:bCs/>
          <w:vertAlign w:val="subscript"/>
        </w:rPr>
        <w:t>2</w:t>
      </w:r>
      <w:r w:rsidR="00334726" w:rsidRPr="005502DF">
        <w:t>eq/MJ;</w:t>
      </w:r>
    </w:p>
    <w:p w:rsidR="00334726" w:rsidRDefault="00533618" w:rsidP="0059263D">
      <w:pPr>
        <w:overflowPunct w:val="0"/>
        <w:autoSpaceDE w:val="0"/>
        <w:autoSpaceDN w:val="0"/>
        <w:adjustRightInd w:val="0"/>
        <w:spacing w:after="0" w:line="240" w:lineRule="auto"/>
        <w:jc w:val="both"/>
        <w:textAlignment w:val="baseline"/>
      </w:pPr>
      <m:oMath>
        <m:sSub>
          <m:sSubPr>
            <m:ctrlPr>
              <w:rPr>
                <w:rFonts w:ascii="Cambria Math" w:eastAsiaTheme="minorEastAsia" w:hAnsi="Cambria Math"/>
                <w:i/>
                <w:sz w:val="24"/>
              </w:rPr>
            </m:ctrlPr>
          </m:sSubPr>
          <m:e>
            <m:r>
              <w:rPr>
                <w:rFonts w:ascii="Cambria Math" w:eastAsiaTheme="minorEastAsia" w:hAnsi="Cambria Math"/>
                <w:sz w:val="24"/>
              </w:rPr>
              <m:t>ECf</m:t>
            </m:r>
          </m:e>
          <m:sub>
            <m:r>
              <w:rPr>
                <w:rFonts w:ascii="Cambria Math" w:eastAsiaTheme="minorEastAsia" w:hAnsi="Cambria Math"/>
                <w:sz w:val="24"/>
              </w:rPr>
              <m:t>r</m:t>
            </m:r>
          </m:sub>
        </m:sSub>
      </m:oMath>
      <w:r w:rsidR="00334726" w:rsidRPr="005502DF">
        <w:t xml:space="preserve"> (</w:t>
      </w:r>
      <w:proofErr w:type="gramStart"/>
      <w:r w:rsidR="00334726" w:rsidRPr="005502DF">
        <w:t>emissioni</w:t>
      </w:r>
      <w:proofErr w:type="gramEnd"/>
      <w:r w:rsidR="00334726" w:rsidRPr="005502DF">
        <w:t xml:space="preserve"> da fonte fossile per la produzione di energia frigorifera)= 57 g</w:t>
      </w:r>
      <w:r w:rsidR="00334726" w:rsidRPr="005502DF">
        <w:rPr>
          <w:rFonts w:cs="Arial"/>
          <w:bCs/>
        </w:rPr>
        <w:t xml:space="preserve"> CO</w:t>
      </w:r>
      <w:r w:rsidR="00334726" w:rsidRPr="005502DF">
        <w:rPr>
          <w:rFonts w:cs="Arial"/>
          <w:bCs/>
          <w:vertAlign w:val="subscript"/>
        </w:rPr>
        <w:t>2</w:t>
      </w:r>
      <w:r w:rsidR="00334726" w:rsidRPr="005502DF">
        <w:t>eq/MJ.</w:t>
      </w:r>
    </w:p>
    <w:p w:rsidR="00533618" w:rsidRDefault="00533618" w:rsidP="004167F0">
      <w:pPr>
        <w:jc w:val="both"/>
      </w:pPr>
    </w:p>
    <w:p w:rsidR="004167F0" w:rsidRPr="00533618" w:rsidRDefault="00533618" w:rsidP="004167F0">
      <w:pPr>
        <w:jc w:val="both"/>
        <w:rPr>
          <w:rFonts w:eastAsiaTheme="minorEastAsia"/>
        </w:rPr>
      </w:pPr>
      <w:r>
        <w:t xml:space="preserve">Per la produzione di </w:t>
      </w:r>
      <w:proofErr w:type="spellStart"/>
      <w:r>
        <w:t>bioprodotti</w:t>
      </w:r>
      <w:proofErr w:type="spellEnd"/>
      <w:r>
        <w:t xml:space="preserve"> si utilizza</w:t>
      </w:r>
      <w:r>
        <w:t>,</w:t>
      </w:r>
      <w:r>
        <w:t xml:space="preserve"> in maniera cautelativa</w:t>
      </w:r>
      <w:r>
        <w:t>,</w:t>
      </w:r>
      <w:r>
        <w:t xml:space="preserve"> il valore più alto</w:t>
      </w:r>
      <w:r>
        <w:t xml:space="preserve"> (</w:t>
      </w:r>
      <m:oMath>
        <m:sSub>
          <m:sSubPr>
            <m:ctrlPr>
              <w:rPr>
                <w:rFonts w:ascii="Cambria Math" w:eastAsiaTheme="minorEastAsia" w:hAnsi="Cambria Math"/>
                <w:i/>
                <w:sz w:val="24"/>
              </w:rPr>
            </m:ctrlPr>
          </m:sSubPr>
          <m:e>
            <m:r>
              <w:rPr>
                <w:rFonts w:ascii="Cambria Math" w:eastAsiaTheme="minorEastAsia" w:hAnsi="Cambria Math"/>
                <w:sz w:val="24"/>
              </w:rPr>
              <m:t>ECf</m:t>
            </m:r>
          </m:e>
          <m:sub>
            <m:r>
              <w:rPr>
                <w:rFonts w:ascii="Cambria Math" w:eastAsiaTheme="minorEastAsia" w:hAnsi="Cambria Math"/>
                <w:sz w:val="24"/>
              </w:rPr>
              <m:t>el</m:t>
            </m:r>
          </m:sub>
        </m:sSub>
      </m:oMath>
      <w:r>
        <w:rPr>
          <w:rFonts w:eastAsiaTheme="minorEastAsia"/>
          <w:sz w:val="24"/>
        </w:rPr>
        <w:t xml:space="preserve">) </w:t>
      </w:r>
      <w:bookmarkStart w:id="0" w:name="_GoBack"/>
      <w:bookmarkEnd w:id="0"/>
      <w:r>
        <w:t>corrispondente alle emissioni da fonte fossile per la produzione di energia elettrica</w:t>
      </w:r>
      <w:r>
        <w:t>, a meno che non venga reperito un dato più attendibile presente in bibliografia o di origine tecnica il quale deve essere riportato nella relazione.</w:t>
      </w:r>
    </w:p>
    <w:p w:rsidR="0059263D" w:rsidRDefault="0059263D" w:rsidP="004167F0">
      <w:pPr>
        <w:jc w:val="both"/>
        <w:rPr>
          <w:rFonts w:eastAsiaTheme="minorEastAsia"/>
        </w:rPr>
      </w:pPr>
      <w:r>
        <w:rPr>
          <w:rFonts w:eastAsiaTheme="minorEastAsia"/>
        </w:rPr>
        <w:t>Pertanto si utilizzerà il valore delle emissioni da fonte fossile corrispondente alla tipologia di energia prodotta dall’investimento finanziato.</w:t>
      </w:r>
    </w:p>
    <w:p w:rsidR="004167F0" w:rsidRDefault="004167F0" w:rsidP="004167F0">
      <w:pPr>
        <w:jc w:val="both"/>
        <w:rPr>
          <w:rFonts w:eastAsiaTheme="minorEastAsia"/>
        </w:rPr>
      </w:pPr>
    </w:p>
    <w:p w:rsidR="004167F0" w:rsidRPr="00984BEA" w:rsidRDefault="004167F0" w:rsidP="004167F0">
      <w:pPr>
        <w:jc w:val="both"/>
      </w:pPr>
    </w:p>
    <w:p w:rsidR="004167F0" w:rsidRPr="00984BEA" w:rsidRDefault="004167F0" w:rsidP="003464C7">
      <w:pPr>
        <w:jc w:val="both"/>
      </w:pPr>
    </w:p>
    <w:sectPr w:rsidR="004167F0" w:rsidRPr="00984B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644FA"/>
    <w:multiLevelType w:val="hybridMultilevel"/>
    <w:tmpl w:val="F4C8260C"/>
    <w:lvl w:ilvl="0" w:tplc="20BC5786">
      <w:numFmt w:val="bullet"/>
      <w:lvlText w:val="-"/>
      <w:lvlJc w:val="left"/>
      <w:pPr>
        <w:ind w:left="1146" w:hanging="360"/>
      </w:pPr>
      <w:rPr>
        <w:rFonts w:ascii="Arial" w:eastAsia="Times New Roman"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39"/>
    <w:rsid w:val="001A5F1E"/>
    <w:rsid w:val="00334726"/>
    <w:rsid w:val="003464C7"/>
    <w:rsid w:val="004167F0"/>
    <w:rsid w:val="00533618"/>
    <w:rsid w:val="0059263D"/>
    <w:rsid w:val="006A349F"/>
    <w:rsid w:val="00736B24"/>
    <w:rsid w:val="00984BEA"/>
    <w:rsid w:val="00997294"/>
    <w:rsid w:val="00B42003"/>
    <w:rsid w:val="00C15DC1"/>
    <w:rsid w:val="00DA1939"/>
    <w:rsid w:val="00E42EAE"/>
    <w:rsid w:val="00F45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AF8F9-6085-4664-A5ED-AF93A0EA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A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3464C7"/>
    <w:rPr>
      <w:color w:val="808080"/>
    </w:rPr>
  </w:style>
  <w:style w:type="paragraph" w:styleId="Paragrafoelenco">
    <w:name w:val="List Paragraph"/>
    <w:basedOn w:val="Normale"/>
    <w:link w:val="ParagrafoelencoCarattere"/>
    <w:uiPriority w:val="99"/>
    <w:qFormat/>
    <w:rsid w:val="00334726"/>
    <w:pPr>
      <w:ind w:left="720"/>
      <w:contextualSpacing/>
    </w:pPr>
  </w:style>
  <w:style w:type="character" w:customStyle="1" w:styleId="ParagrafoelencoCarattere">
    <w:name w:val="Paragrafo elenco Carattere"/>
    <w:link w:val="Paragrafoelenco"/>
    <w:uiPriority w:val="99"/>
    <w:locked/>
    <w:rsid w:val="0033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Maldini</dc:creator>
  <cp:keywords/>
  <dc:description/>
  <cp:lastModifiedBy>Eleonora Maldini</cp:lastModifiedBy>
  <cp:revision>7</cp:revision>
  <dcterms:created xsi:type="dcterms:W3CDTF">2016-03-08T15:25:00Z</dcterms:created>
  <dcterms:modified xsi:type="dcterms:W3CDTF">2016-04-19T09:05:00Z</dcterms:modified>
</cp:coreProperties>
</file>